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E9" w:rsidRPr="00AF12EE" w:rsidRDefault="000150E9" w:rsidP="00AF12EE">
      <w:pPr>
        <w:pStyle w:val="Title"/>
        <w:ind w:left="0"/>
        <w:rPr>
          <w:sz w:val="260"/>
          <w:szCs w:val="220"/>
          <w:rtl/>
          <w:lang w:bidi="fa-IR"/>
        </w:rPr>
      </w:pPr>
      <w:r w:rsidRPr="00AF12EE">
        <w:rPr>
          <w:noProof/>
          <w:sz w:val="260"/>
          <w:szCs w:val="220"/>
        </w:rPr>
        <w:drawing>
          <wp:anchor distT="0" distB="0" distL="114300" distR="114300" simplePos="0" relativeHeight="251666432" behindDoc="0" locked="1" layoutInCell="1" allowOverlap="1" wp14:anchorId="7AFDBE78" wp14:editId="73810D08">
            <wp:simplePos x="0" y="0"/>
            <wp:positionH relativeFrom="margin">
              <wp:posOffset>2964815</wp:posOffset>
            </wp:positionH>
            <wp:positionV relativeFrom="page">
              <wp:posOffset>906145</wp:posOffset>
            </wp:positionV>
            <wp:extent cx="685800" cy="621665"/>
            <wp:effectExtent l="0" t="0" r="0" b="0"/>
            <wp:wrapNone/>
            <wp:docPr id="192" name="Picture 192" descr="Microsoft W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keTour_Word_RevLogo-0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8800</wp14:pctWidth>
            </wp14:sizeRelH>
            <wp14:sizeRelV relativeFrom="page">
              <wp14:pctHeight>6200</wp14:pctHeight>
            </wp14:sizeRelV>
          </wp:anchor>
        </w:drawing>
      </w:r>
      <w:r w:rsidR="00AF12EE" w:rsidRPr="00AF12EE">
        <w:rPr>
          <w:rFonts w:hint="cs"/>
          <w:noProof/>
          <w:sz w:val="260"/>
          <w:szCs w:val="220"/>
          <w:rtl/>
          <w:lang w:bidi="fa-IR"/>
        </w:rPr>
        <w:t>مشاورگروپ</w:t>
      </w:r>
    </w:p>
    <w:p w:rsidR="009853E9" w:rsidRDefault="00AF12EE" w:rsidP="00943B06">
      <w:pPr>
        <w:rPr>
          <w:rtl/>
        </w:rPr>
      </w:pPr>
      <w:bookmarkStart w:id="0" w:name="_Hlk487785372"/>
      <w:bookmarkEnd w:id="0"/>
      <w:r>
        <w:rPr>
          <w:rFonts w:hint="cs"/>
          <w:rtl/>
        </w:rPr>
        <w:t xml:space="preserve">  </w:t>
      </w:r>
    </w:p>
    <w:p w:rsidR="00AF12EE" w:rsidRDefault="00AF12EE" w:rsidP="00943B06">
      <w:pPr>
        <w:rPr>
          <w:rtl/>
        </w:rPr>
      </w:pPr>
    </w:p>
    <w:p w:rsidR="00AF12EE" w:rsidRDefault="00AF12EE" w:rsidP="00943B06">
      <w:pPr>
        <w:rPr>
          <w:rtl/>
        </w:rPr>
      </w:pPr>
    </w:p>
    <w:p w:rsidR="00AF12EE" w:rsidRDefault="00AF12EE" w:rsidP="00943B06">
      <w:pPr>
        <w:rPr>
          <w:rtl/>
        </w:rPr>
      </w:pPr>
    </w:p>
    <w:p w:rsidR="00AF12EE" w:rsidRDefault="00AF12EE" w:rsidP="00943B06">
      <w:pPr>
        <w:rPr>
          <w:rtl/>
        </w:rPr>
      </w:pPr>
    </w:p>
    <w:p w:rsidR="00AF12EE" w:rsidRDefault="00AF12EE" w:rsidP="00943B06">
      <w:pPr>
        <w:rPr>
          <w:rtl/>
        </w:rPr>
      </w:pPr>
    </w:p>
    <w:p w:rsidR="00AF12EE" w:rsidRDefault="00AF12EE" w:rsidP="00943B06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deo layout table"/>
      </w:tblPr>
      <w:tblGrid>
        <w:gridCol w:w="5310"/>
        <w:gridCol w:w="4050"/>
      </w:tblGrid>
      <w:tr w:rsidR="00B61F85" w:rsidRPr="00BF457D" w:rsidTr="00BF457D">
        <w:tc>
          <w:tcPr>
            <w:tcW w:w="5310" w:type="dxa"/>
          </w:tcPr>
          <w:p w:rsidR="00B61F85" w:rsidRPr="00BF457D" w:rsidRDefault="00007202" w:rsidP="00BF457D">
            <w:r>
              <w:rPr>
                <w:noProof/>
              </w:rPr>
              <w:drawing>
                <wp:inline distT="0" distB="0" distL="0" distR="0" wp14:anchorId="29CFDD0E" wp14:editId="256EFB5D">
                  <wp:extent cx="3346994" cy="1883827"/>
                  <wp:effectExtent l="0" t="0" r="6350" b="2540"/>
                  <wp:docPr id="6" name="Picture 6" descr="Learn Word with this interactive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994" cy="188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Mar>
              <w:left w:w="144" w:type="dxa"/>
            </w:tcMar>
          </w:tcPr>
          <w:p w:rsidR="00AF12EE" w:rsidRPr="00AF12EE" w:rsidRDefault="00AF12EE" w:rsidP="00AF12EE">
            <w:pPr>
              <w:pStyle w:val="Heading3"/>
              <w:jc w:val="both"/>
              <w:rPr>
                <w:sz w:val="56"/>
                <w:szCs w:val="56"/>
              </w:rPr>
            </w:pPr>
            <w:r w:rsidRPr="00AF12EE">
              <w:rPr>
                <w:sz w:val="56"/>
                <w:szCs w:val="56"/>
                <w:rtl/>
              </w:rPr>
              <w:t>دستور العمل ارائه تسهيلات خدمت ن</w:t>
            </w:r>
            <w:r>
              <w:rPr>
                <w:sz w:val="56"/>
                <w:szCs w:val="56"/>
                <w:rtl/>
              </w:rPr>
              <w:t>ظام وظيفه به نخبگان و استعدادها</w:t>
            </w:r>
            <w:r>
              <w:rPr>
                <w:rFonts w:hint="cs"/>
                <w:sz w:val="56"/>
                <w:szCs w:val="56"/>
                <w:rtl/>
              </w:rPr>
              <w:t>ی</w:t>
            </w:r>
            <w:r w:rsidRPr="00AF12EE">
              <w:rPr>
                <w:sz w:val="56"/>
                <w:szCs w:val="56"/>
                <w:rtl/>
              </w:rPr>
              <w:t xml:space="preserve"> برتر</w:t>
            </w:r>
          </w:p>
          <w:p w:rsidR="00B61F85" w:rsidRPr="00BF457D" w:rsidRDefault="00B61F85" w:rsidP="00BF457D"/>
        </w:tc>
      </w:tr>
    </w:tbl>
    <w:p w:rsidR="00AF12EE" w:rsidRDefault="00AF12EE" w:rsidP="00AF12EE">
      <w:pPr>
        <w:rPr>
          <w:rtl/>
        </w:rPr>
      </w:pPr>
    </w:p>
    <w:p w:rsidR="00AF12EE" w:rsidRDefault="00AF12EE" w:rsidP="00AF12EE">
      <w:pPr>
        <w:rPr>
          <w:rtl/>
        </w:rPr>
      </w:pPr>
    </w:p>
    <w:p w:rsidR="00AF12EE" w:rsidRDefault="00AF12EE" w:rsidP="00AF12EE">
      <w:pPr>
        <w:rPr>
          <w:rtl/>
        </w:rPr>
      </w:pPr>
    </w:p>
    <w:p w:rsidR="00AF12EE" w:rsidRPr="00AF12EE" w:rsidRDefault="00AF12EE" w:rsidP="00AF12EE"/>
    <w:p w:rsidR="0026484A" w:rsidRDefault="0026484A" w:rsidP="0026484A"/>
    <w:p w:rsidR="00AF12EE" w:rsidRPr="00AF12EE" w:rsidRDefault="00AF12EE" w:rsidP="00AF12EE">
      <w:pPr>
        <w:pStyle w:val="Heading3"/>
        <w:jc w:val="right"/>
        <w:rPr>
          <w:sz w:val="56"/>
          <w:szCs w:val="56"/>
        </w:rPr>
      </w:pPr>
      <w:r w:rsidRPr="00AF12EE">
        <w:rPr>
          <w:sz w:val="56"/>
          <w:szCs w:val="56"/>
          <w:rtl/>
        </w:rPr>
        <w:lastRenderedPageBreak/>
        <w:t>دستور العمل ارائه تسهيلات خدمت ن</w:t>
      </w:r>
      <w:r>
        <w:rPr>
          <w:sz w:val="56"/>
          <w:szCs w:val="56"/>
          <w:rtl/>
        </w:rPr>
        <w:t>ظام وظيفه به نخبگان و استعدادها</w:t>
      </w:r>
      <w:r>
        <w:rPr>
          <w:rFonts w:hint="cs"/>
          <w:sz w:val="56"/>
          <w:szCs w:val="56"/>
          <w:rtl/>
        </w:rPr>
        <w:t>ی</w:t>
      </w:r>
      <w:r w:rsidRPr="00AF12EE">
        <w:rPr>
          <w:sz w:val="56"/>
          <w:szCs w:val="56"/>
          <w:rtl/>
        </w:rPr>
        <w:t xml:space="preserve"> برتر</w:t>
      </w:r>
    </w:p>
    <w:p w:rsidR="00AF12EE" w:rsidRDefault="00AF12EE" w:rsidP="00AF12EE">
      <w:pPr>
        <w:ind w:left="360"/>
        <w:jc w:val="right"/>
      </w:pPr>
      <w:r>
        <w:rPr>
          <w:rtl/>
        </w:rPr>
        <w:t xml:space="preserve">مقدمه </w:t>
      </w:r>
      <w:r>
        <w:br/>
      </w:r>
      <w:r>
        <w:rPr>
          <w:rtl/>
        </w:rPr>
        <w:t>به منظور تحقق تاكيدات مقام معظم رهبري و فرماندهي كل نيروهاي مسلح در استفاده بهينه از ظرفيتهاي علمي نخبگان براي توسعه و تعالي كشور و به استناد ماده 3 اساسنامه بنياد ملي نخبگان، دستورالعمل ارائه تسهيلات خدمت نظام وظيفه به نخبگان و استعدادهاي برتر به شرح زير ابلاغ مي شود</w:t>
      </w:r>
      <w:r>
        <w:t xml:space="preserve">: </w:t>
      </w:r>
      <w:r>
        <w:br/>
      </w:r>
      <w:r>
        <w:rPr>
          <w:rtl/>
        </w:rPr>
        <w:t>ماده 1- در اين دستورالعمل منظور از بنياد، بنياد ملي نخبگان و منظور از وزارتين، وزارتخانه هاي علوم، تحقيقات و فناوري بهداشت ، درمان و آموزش پزشكي است</w:t>
      </w:r>
      <w:r>
        <w:t xml:space="preserve">. </w:t>
      </w:r>
      <w:r>
        <w:br/>
      </w:r>
      <w:r>
        <w:rPr>
          <w:rtl/>
        </w:rPr>
        <w:t>ماده 2- مشمولان</w:t>
      </w:r>
      <w:r>
        <w:t xml:space="preserve"> : </w:t>
      </w:r>
      <w:r>
        <w:br/>
      </w:r>
      <w:r>
        <w:rPr>
          <w:rtl/>
        </w:rPr>
        <w:t>به استناد مواد 3،2و 4 آيين نامه احراز استعدادهاي برتر و نخبگي، مصوب 589 جلسه مورخ 14/6/1385 شوراي عالي انقلاب فرهنگي مشمولان اين دستورالعمل عبارتند از</w:t>
      </w:r>
      <w:r>
        <w:rPr>
          <w:rFonts w:hint="cs"/>
          <w:rtl/>
        </w:rPr>
        <w:t>:</w:t>
      </w:r>
      <w:r>
        <w:t xml:space="preserve"> :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نفرات اول تا سوم المپياد هاي معتبر جهاني و بين المللي دانش آموزي با تأييد وزارت آموزش و پرورش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نفرات اول تا سوم المپياد هاي معتبر بين المللي دانشجويي با تاييد وزارتين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نفرات اول تا سوم المپياد هاي معتبر علمي دانشجويي با معرفي وزارتين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نفرات اول تا سوم المپياد هاي معتبر علمي دانش آموزي كشور با معرفي وزارت آموزش و پرورش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برگزيدگان مسابقات و جشنواره هاي علمي معتبر داخلي و خارجي از قبيل جشنواره بين المللي خوارزمي، جشنواره جوان خوارزمي، جشنواره علوم پزشكي رازي و جشنواره فارابي با معرفي وزارتين و تاييد بنياد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برگزيدگان از ميان مخترعان و مكتشفان ايراني كه اختراع و اكتشافات آنان در مراجع ذيصلاح داخلي و يا خارجي به ثبت رسيده باشد با تاييد بنياد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برگزيدگان نفرات اول تا سوم مسابقات معتبر قرآني داخلي و بين المللي با تأييد وزارت فرهنگ و ارشاد اسلامي و تاييد بنياد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رتبه هاي برتر آزمون هاي سراسري مقطع كارشناسي از ميان 100 نفر اول براي رشته هاي رياضي و فيزيك، 50 نفر اول براي رشته هاي علوم تجربي، 50 نفر براي رشته هاي علوم انساني و 20 نفر اول براي رشته هاي هنر كه معدل كل دوره كارشناسي آنان حداقل 17 باشد</w:t>
      </w:r>
      <w:r>
        <w:t>.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برگزيدگان از ميان آفرينندگان آثار بديع و ارزنده هنري در حوزه هاي موسيقي، نقاشي، هنرهاي تجسمي، هنرهاي نمايشي، معماري و غيره با معرفي فرهنگستان هنر و انتخاب بنياد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 xml:space="preserve">برگزيدگان از ميان نفرات اول دانش آموخته رشته هاي دانشگاهي ( كارشناسي و بالاتر ) داخل كشور با معرفي وزارتين كه واجد حداقل شرايط مندرج در جدول </w:t>
      </w:r>
      <w:r>
        <w:t xml:space="preserve">(1 ) </w:t>
      </w:r>
      <w:r>
        <w:rPr>
          <w:rtl/>
        </w:rPr>
        <w:t>باشند</w:t>
      </w:r>
      <w:r>
        <w:t>.</w:t>
      </w:r>
    </w:p>
    <w:p w:rsidR="00AF12EE" w:rsidRDefault="00AF12EE" w:rsidP="00AF12EE">
      <w:pPr>
        <w:spacing w:before="0"/>
        <w:jc w:val="right"/>
      </w:pPr>
      <w:r>
        <w:rPr>
          <w:rtl/>
        </w:rPr>
        <w:t>جدول(1)- حداقل شرايط دانش آموختگان رتبه اول داخل كشور</w:t>
      </w: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"/>
        <w:gridCol w:w="1988"/>
        <w:gridCol w:w="5920"/>
      </w:tblGrid>
      <w:tr w:rsidR="00AF12EE" w:rsidTr="00AF1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مقطع</w:t>
            </w:r>
          </w:p>
        </w:tc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رشته تحصيلي دانشگاهي</w:t>
            </w:r>
          </w:p>
        </w:tc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شرايط</w:t>
            </w:r>
          </w:p>
        </w:tc>
      </w:tr>
      <w:tr w:rsidR="00AF12EE" w:rsidTr="00AF1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lastRenderedPageBreak/>
              <w:t>كارشناسي</w:t>
            </w:r>
          </w:p>
        </w:tc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همه رشته ها</w:t>
            </w:r>
          </w:p>
        </w:tc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يك مقاله پژوهشي پذيرفته شده براي چاپ يا چاپ شده در همايش هاي علمي يا نشريات علمي- پژوهشي مورد تأييد وزارتين يا يك اختراع مورد تأييد</w:t>
            </w:r>
          </w:p>
        </w:tc>
      </w:tr>
      <w:tr w:rsidR="00AF12EE" w:rsidTr="00AF12E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كارشناسي ارشد</w:t>
            </w:r>
          </w:p>
        </w:tc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علوم انساني و هنر</w:t>
            </w:r>
          </w:p>
        </w:tc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تأييد يك مقاله پژوهشي چاپ شده يا پذيرفته شده در نشريات نمايه شده در مؤسسات اطلاعات علمي بين المللي معتبر يا نشريات علمي- پژوهشي مورد تأييد وزارتين</w:t>
            </w:r>
          </w:p>
        </w:tc>
      </w:tr>
      <w:tr w:rsidR="00AF12EE" w:rsidTr="00AF12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12EE" w:rsidRDefault="00AF12EE" w:rsidP="00AF1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علوم پايه، فني و مهندسي، پزشكي و كشاورزي</w:t>
            </w:r>
          </w:p>
        </w:tc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تأليف يك مقاله پژوهشي چاپ شده يا پذيرفته شده در نشريات نمايه شده در مؤسسات اطلاعات علمي بين المللي معتبر</w:t>
            </w:r>
          </w:p>
        </w:tc>
      </w:tr>
      <w:tr w:rsidR="00AF12EE" w:rsidTr="00AF12E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دكتري</w:t>
            </w:r>
          </w:p>
        </w:tc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علوم انساني و هنر</w:t>
            </w:r>
          </w:p>
        </w:tc>
        <w:tc>
          <w:tcPr>
            <w:tcW w:w="0" w:type="auto"/>
            <w:vAlign w:val="center"/>
            <w:hideMark/>
          </w:tcPr>
          <w:p w:rsidR="00AF12EE" w:rsidRDefault="00AF12EE" w:rsidP="00AF12EE">
            <w:pPr>
              <w:jc w:val="center"/>
            </w:pPr>
            <w:r>
              <w:rPr>
                <w:rtl/>
              </w:rPr>
              <w:t>كسب امتياز عالي يا بسيار خوب از رساله و تاليف دو مقاله پژوهشي چاپ شده يا پذيرفته شده در نشريات نمايه شده در مؤسسات اطلاعات علمي- پژوهشي مورد تاييد وزارتين</w:t>
            </w:r>
          </w:p>
        </w:tc>
      </w:tr>
      <w:tr w:rsidR="00AF12EE" w:rsidTr="00AF12E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12EE" w:rsidRDefault="00AF12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12EE" w:rsidRDefault="00AF12EE">
            <w:r>
              <w:rPr>
                <w:rtl/>
              </w:rPr>
              <w:t xml:space="preserve">علوم پايه، فني و مهندسي، پزشكي و كشاورزي </w:t>
            </w:r>
          </w:p>
        </w:tc>
        <w:tc>
          <w:tcPr>
            <w:tcW w:w="0" w:type="auto"/>
            <w:vAlign w:val="center"/>
            <w:hideMark/>
          </w:tcPr>
          <w:p w:rsidR="00AF12EE" w:rsidRDefault="00AF12EE">
            <w:r>
              <w:rPr>
                <w:rtl/>
              </w:rPr>
              <w:t xml:space="preserve">كسب امتياز عالي يا بسيار خوب از رساله و تأليف دو مقاله پژوهشي چاپ شده يا پذيرفته شده در نشريات نمايه شده در مؤسسات اطلاعات علمي بين المللي معتبر </w:t>
            </w:r>
          </w:p>
        </w:tc>
      </w:tr>
    </w:tbl>
    <w:p w:rsidR="00AF12EE" w:rsidRDefault="00AF12EE" w:rsidP="00AF12EE">
      <w:pPr>
        <w:jc w:val="right"/>
      </w:pPr>
      <w:r>
        <w:rPr>
          <w:rtl/>
        </w:rPr>
        <w:t>تذكر</w:t>
      </w:r>
      <w:r>
        <w:t xml:space="preserve"> : 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 xml:space="preserve">مقالات دانش آموختگان كارشناسي ارشد و دكتري بايد مستخرج از پايان نامه آنان باشد 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يك اختراع ثبت شده بين المللي معتبر قابل جايگزيني با دو مقاله است</w:t>
      </w:r>
      <w:r>
        <w:t xml:space="preserve">. </w:t>
      </w:r>
    </w:p>
    <w:p w:rsidR="00AF12EE" w:rsidRDefault="00AF12EE" w:rsidP="00AF12EE">
      <w:pPr>
        <w:spacing w:before="0"/>
        <w:ind w:left="360"/>
        <w:jc w:val="right"/>
      </w:pPr>
      <w:r>
        <w:rPr>
          <w:rtl/>
        </w:rPr>
        <w:t>تبصره</w:t>
      </w:r>
      <w:r>
        <w:t xml:space="preserve"> : </w:t>
      </w:r>
      <w:r>
        <w:br/>
      </w:r>
      <w:r>
        <w:rPr>
          <w:rtl/>
        </w:rPr>
        <w:t>در شرايط خاص مشمولان ، در چارچوب آيين نامه احراز نخبگي و استعدادهاي برتر، با تاييد شوراي نخبگان انتخاب مي شوند</w:t>
      </w:r>
      <w:r>
        <w:t xml:space="preserve">. </w:t>
      </w:r>
      <w:r>
        <w:br/>
      </w:r>
      <w:r>
        <w:rPr>
          <w:rtl/>
        </w:rPr>
        <w:t>ماده 3- تسهيلات نظام وظيفه</w:t>
      </w:r>
      <w:r>
        <w:t xml:space="preserve"> : 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>معافيت تحصيلي در تمامي مقاطع تحصيلي كه مستمرا توسط مشمول گذرانده مي شود</w:t>
      </w:r>
      <w:r>
        <w:t xml:space="preserve">. 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 xml:space="preserve">طي خدمت نظام وظيفه با انجام دوره آموزش نظامي به اضافه پژوهش در قالب پروژه تحقيقاتي براي نيروهاي مسلح يا موضوعات مورد نياز كشور و دريافت كارت پايان خدمت </w:t>
      </w:r>
    </w:p>
    <w:p w:rsidR="00AF12EE" w:rsidRDefault="00AF12EE" w:rsidP="00AF12EE">
      <w:pPr>
        <w:spacing w:before="0"/>
        <w:ind w:left="360"/>
        <w:jc w:val="right"/>
      </w:pPr>
      <w:r>
        <w:rPr>
          <w:rtl/>
        </w:rPr>
        <w:t>تبصره ا</w:t>
      </w:r>
      <w:r>
        <w:t xml:space="preserve"> : </w:t>
      </w:r>
      <w:r>
        <w:br/>
      </w:r>
      <w:r>
        <w:rPr>
          <w:rtl/>
        </w:rPr>
        <w:t>موضوع و مدت زمان لازم براي انجام پروژه هاي تحقيقاتي تا سقف مدت خدمت نظام وظيفه توسط ستاد كل نيروهاي مسلح با توجه رشته تحصيلي و سوابق علمي مشمولان، با هدايت يا همكاري استادان متخصص و مبرز دانشگاهي تعيين مي شود</w:t>
      </w:r>
      <w:r>
        <w:t xml:space="preserve">. </w:t>
      </w:r>
      <w:r>
        <w:br/>
      </w:r>
      <w:r>
        <w:rPr>
          <w:rtl/>
        </w:rPr>
        <w:t>تبصره 2</w:t>
      </w:r>
      <w:r>
        <w:t xml:space="preserve"> : </w:t>
      </w:r>
      <w:r>
        <w:br/>
      </w:r>
      <w:r>
        <w:rPr>
          <w:rtl/>
        </w:rPr>
        <w:t>انجام پروژه هاي تحقيقاتي توسط مشمولان همزمان با تحصيل در دوره كارشناسي ارشد و دكتري به شرط تأييد استاد راهنما مجاز است</w:t>
      </w:r>
      <w:r>
        <w:t xml:space="preserve">. </w:t>
      </w:r>
      <w:r>
        <w:br/>
      </w:r>
      <w:r>
        <w:rPr>
          <w:rtl/>
        </w:rPr>
        <w:t>تبصره 3</w:t>
      </w:r>
      <w:r>
        <w:t xml:space="preserve"> : </w:t>
      </w:r>
      <w:r>
        <w:br/>
      </w:r>
      <w:r>
        <w:rPr>
          <w:rtl/>
        </w:rPr>
        <w:t>انجام پروژه هاي تحقيقاتي در طول دوران پسا دكتري به شرط تاييد استاد راهنما مجاز است</w:t>
      </w:r>
      <w:r>
        <w:t xml:space="preserve">. 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 xml:space="preserve">مجوز خروج از كشور براي ادامه تحصيل در دوره هاي تحصيلات تكميلي در دانشگاههاي معتبر خارجي بدون سپردن وديعه 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t xml:space="preserve">مجوز خروج از كشور براي شركت در همايش ها و مسابقات علمي بدون سپردن وديعه </w:t>
      </w:r>
    </w:p>
    <w:p w:rsidR="00AF12EE" w:rsidRDefault="00AF12EE" w:rsidP="00AF12EE">
      <w:pPr>
        <w:spacing w:before="100" w:beforeAutospacing="1" w:after="100" w:afterAutospacing="1" w:line="240" w:lineRule="auto"/>
        <w:ind w:left="360"/>
        <w:jc w:val="right"/>
      </w:pPr>
      <w:r>
        <w:rPr>
          <w:rtl/>
        </w:rPr>
        <w:lastRenderedPageBreak/>
        <w:t>مجوز خروج از كشور براي طي دوره فرصت مطالعاتي دانشجويان دكتري بدون سپردن وديعه اين دستورالعمل در سه ماده و چهار تبصره در بيست و سومين جلسه كميسيون دائمي هيأت امناي بنياد ملي نخبگان مورخ 8/3/86 به تصويب رسيد و از تاريخ تصويب قابل اجرا است</w:t>
      </w:r>
      <w:r>
        <w:t xml:space="preserve">. </w:t>
      </w:r>
    </w:p>
    <w:p w:rsidR="009853E9" w:rsidRPr="00D902A4" w:rsidRDefault="00AF12EE" w:rsidP="00AF12EE">
      <w:pPr>
        <w:ind w:left="360"/>
        <w:jc w:val="right"/>
      </w:pPr>
      <w:r>
        <w:br/>
      </w:r>
      <w:r>
        <w:rPr>
          <w:rtl/>
        </w:rPr>
        <w:t xml:space="preserve">مركز المپياد علمي دانشجويي </w:t>
      </w:r>
      <w:r>
        <w:t>   </w:t>
      </w:r>
    </w:p>
    <w:p w:rsidR="006D3A72" w:rsidRDefault="006D3A72" w:rsidP="001073CE">
      <w:pPr>
        <w:pStyle w:val="Image"/>
      </w:pPr>
      <w:bookmarkStart w:id="1" w:name="_GoBack"/>
      <w:bookmarkEnd w:id="1"/>
    </w:p>
    <w:sectPr w:rsidR="006D3A72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B5" w:rsidRDefault="002047B5">
      <w:pPr>
        <w:spacing w:line="240" w:lineRule="auto"/>
      </w:pPr>
      <w:r>
        <w:separator/>
      </w:r>
    </w:p>
  </w:endnote>
  <w:endnote w:type="continuationSeparator" w:id="0">
    <w:p w:rsidR="002047B5" w:rsidRDefault="00204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B5" w:rsidRDefault="002047B5">
      <w:pPr>
        <w:spacing w:line="240" w:lineRule="auto"/>
      </w:pPr>
      <w:r>
        <w:separator/>
      </w:r>
    </w:p>
  </w:footnote>
  <w:footnote w:type="continuationSeparator" w:id="0">
    <w:p w:rsidR="002047B5" w:rsidRDefault="00204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ED011C"/>
    <w:multiLevelType w:val="multilevel"/>
    <w:tmpl w:val="852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D5323"/>
    <w:multiLevelType w:val="multilevel"/>
    <w:tmpl w:val="4834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E56A3"/>
    <w:multiLevelType w:val="hybridMultilevel"/>
    <w:tmpl w:val="0638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16ACE"/>
    <w:multiLevelType w:val="multilevel"/>
    <w:tmpl w:val="642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71B2A"/>
    <w:multiLevelType w:val="multilevel"/>
    <w:tmpl w:val="ADB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F58A8"/>
    <w:multiLevelType w:val="hybridMultilevel"/>
    <w:tmpl w:val="ED3E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5AA9"/>
    <w:multiLevelType w:val="hybridMultilevel"/>
    <w:tmpl w:val="80327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8"/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4"/>
  </w:num>
  <w:num w:numId="22">
    <w:abstractNumId w:val="13"/>
  </w:num>
  <w:num w:numId="23">
    <w:abstractNumId w:val="15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EE"/>
    <w:rsid w:val="00007202"/>
    <w:rsid w:val="000150E9"/>
    <w:rsid w:val="00030E3C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047B5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728E3"/>
    <w:rsid w:val="003962D3"/>
    <w:rsid w:val="003C7D9D"/>
    <w:rsid w:val="003E3A63"/>
    <w:rsid w:val="00426839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F7760"/>
    <w:rsid w:val="00520AC9"/>
    <w:rsid w:val="00594254"/>
    <w:rsid w:val="005B6EB8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54C88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53E64"/>
    <w:rsid w:val="00895251"/>
    <w:rsid w:val="00897BFF"/>
    <w:rsid w:val="008C61B9"/>
    <w:rsid w:val="00912477"/>
    <w:rsid w:val="009139AF"/>
    <w:rsid w:val="00943B06"/>
    <w:rsid w:val="00945864"/>
    <w:rsid w:val="009806F4"/>
    <w:rsid w:val="009853E9"/>
    <w:rsid w:val="00996E16"/>
    <w:rsid w:val="009B69C5"/>
    <w:rsid w:val="009D3947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AF12EE"/>
    <w:rsid w:val="00B369B4"/>
    <w:rsid w:val="00B53817"/>
    <w:rsid w:val="00B61F85"/>
    <w:rsid w:val="00BA3CC7"/>
    <w:rsid w:val="00BF457D"/>
    <w:rsid w:val="00BF4775"/>
    <w:rsid w:val="00CA0C45"/>
    <w:rsid w:val="00CC3AB0"/>
    <w:rsid w:val="00CD4A9C"/>
    <w:rsid w:val="00CF12AE"/>
    <w:rsid w:val="00D1798D"/>
    <w:rsid w:val="00D902A4"/>
    <w:rsid w:val="00DB2323"/>
    <w:rsid w:val="00DB331E"/>
    <w:rsid w:val="00DC4E21"/>
    <w:rsid w:val="00DD5358"/>
    <w:rsid w:val="00E224A0"/>
    <w:rsid w:val="00E254F0"/>
    <w:rsid w:val="00E4313F"/>
    <w:rsid w:val="00E51168"/>
    <w:rsid w:val="00E55B4B"/>
    <w:rsid w:val="00E55FC7"/>
    <w:rsid w:val="00E72A21"/>
    <w:rsid w:val="00E7715A"/>
    <w:rsid w:val="00EB700D"/>
    <w:rsid w:val="00F33B83"/>
    <w:rsid w:val="00F41B42"/>
    <w:rsid w:val="00F54BD0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3A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havergroup\AppData\Roaming\Microsoft\Templates\Welcome%20to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 to Word</Template>
  <TotalTime>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2022-04-11T07:42:00Z</dcterms:created>
  <dcterms:modified xsi:type="dcterms:W3CDTF">2022-04-11T07:42:00Z</dcterms:modified>
</cp:coreProperties>
</file>